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Acquisti ed alienazioni immobiliari, relative permute, appalti e concessioni che non siano previsti espressamente in atti fondamentali del Consiglio o che non ne costituiscano mera esecuzione e che, comunque, non rientrino nella ordinaria amministrazione di funzioni e servizi di competenza della Giunta, del Segretario Generale o di altri funzionari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per acquisti ed alienazioni immobiliari, relative permute, appalti e concessioni che non siano previsti espressamente in atti fondamentali del consiglio o che non ne costituiscano mera esecuzione e che, comunque, non rientrino nella ordinaria amministrazione di funzioni e servizi di competenza della Giunta, del Segretario Generale o di altri funzionari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BD768E" w:rsidRDefault="00B1209F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BD768E" w:rsidRDefault="00B1209F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BD768E" w:rsidRDefault="00B1209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proofErr w:type="spellStart"/>
            <w:r w:rsidR="00B1209F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BD768E" w:rsidRDefault="00B1209F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BD768E" w:rsidRDefault="00B1209F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BD768E" w:rsidRDefault="00B1209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D768E" w:rsidRDefault="00B1209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D768E" w:rsidRDefault="00B1209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D768E" w:rsidRDefault="00B1209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209F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D768E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2020-06-30T09:35:00Z</dcterms:modified>
</cp:coreProperties>
</file>